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tabs>
          <w:tab w:val="left" w:leader="none" w:pos="5715"/>
        </w:tabs>
        <w:spacing w:after="240" w:line="24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tabs>
          <w:tab w:val="left" w:leader="none" w:pos="5715"/>
        </w:tabs>
        <w:spacing w:after="24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Call-Off Schedule 1 (Transparency Reports)</w:t>
      </w:r>
    </w:p>
    <w:p w:rsidR="00000000" w:rsidDel="00000000" w:rsidP="00000000" w:rsidRDefault="00000000" w:rsidRPr="00000000" w14:paraId="00000003">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 The Supplier recognises that the Buyer is subject to PPN 01/17 (Updates to transparency principles v1.1 (</w:t>
      </w:r>
      <w:hyperlink r:id="rId7">
        <w:r w:rsidDel="00000000" w:rsidR="00000000" w:rsidRPr="00000000">
          <w:rPr>
            <w:rFonts w:ascii="Arial" w:cs="Arial" w:eastAsia="Arial" w:hAnsi="Arial"/>
            <w:color w:val="0000ff"/>
            <w:sz w:val="24"/>
            <w:szCs w:val="24"/>
            <w:u w:val="single"/>
            <w:rtl w:val="0"/>
          </w:rPr>
          <w:t xml:space="preserve">https://www.gov.uk/government/publications/procurement-policy-note-0117-update-to-transparency-principles</w:t>
        </w:r>
      </w:hyperlink>
      <w:r w:rsidDel="00000000" w:rsidR="00000000" w:rsidRPr="00000000">
        <w:rPr>
          <w:rFonts w:ascii="Arial" w:cs="Arial" w:eastAsia="Arial" w:hAnsi="Arial"/>
          <w:color w:val="000000"/>
          <w:sz w:val="24"/>
          <w:szCs w:val="24"/>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04">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6">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000000" w:rsidDel="00000000" w:rsidP="00000000" w:rsidRDefault="00000000" w:rsidRPr="00000000" w14:paraId="00000008">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 The Supplier shall provide accurate and up-to-date versions of each Transparency Report to the Buyer at the frequency referred to in the Annex of this Schedule.</w:t>
      </w:r>
    </w:p>
    <w:p w:rsidR="00000000" w:rsidDel="00000000" w:rsidP="00000000" w:rsidRDefault="00000000" w:rsidRPr="00000000" w14:paraId="0000000A">
      <w:pPr>
        <w:rPr>
          <w:rFonts w:ascii="Arial" w:cs="Arial" w:eastAsia="Arial" w:hAnsi="Arial"/>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0B">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24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A: List of Transparency Reports</w:t>
      </w:r>
    </w:p>
    <w:tbl>
      <w:tblPr>
        <w:tblStyle w:val="Table1"/>
        <w:tblW w:w="899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05"/>
        <w:gridCol w:w="2552"/>
        <w:gridCol w:w="1842"/>
        <w:gridCol w:w="2193"/>
        <w:tblGridChange w:id="0">
          <w:tblGrid>
            <w:gridCol w:w="2405"/>
            <w:gridCol w:w="2552"/>
            <w:gridCol w:w="1842"/>
            <w:gridCol w:w="2193"/>
          </w:tblGrid>
        </w:tblGridChange>
      </w:tblGrid>
      <w:tr>
        <w:trPr>
          <w:cantSplit w:val="0"/>
          <w:trHeight w:val="12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Content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Format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Frequency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4"/>
                <w:szCs w:val="24"/>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Performance Management  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4"/>
                <w:szCs w:val="24"/>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Progress against agreed Milestones and any KPIs agreed.  Mitigation Plan where targets have been missed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4"/>
                <w:szCs w:val="24"/>
                <w:highlight w:val="white"/>
                <w:u w:val="none"/>
                <w:vertAlign w:val="baseline"/>
              </w:rPr>
            </w:pPr>
            <w:bookmarkStart w:colFirst="0" w:colLast="0" w:name="_heading=h.gjdgxs" w:id="0"/>
            <w:bookmarkEnd w:id="0"/>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MS Excel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4"/>
                <w:szCs w:val="24"/>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Monthly </w:t>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4"/>
                <w:szCs w:val="24"/>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Call-Off Contract Charges, including Charges relating to individual SOW’s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4"/>
                <w:szCs w:val="24"/>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Invoices raised to date showing total charges and any charge in dispute / delayed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4"/>
                <w:szCs w:val="24"/>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 </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4"/>
                <w:szCs w:val="24"/>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MS Excel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4"/>
                <w:szCs w:val="24"/>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 </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4"/>
                <w:szCs w:val="24"/>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Monthly </w:t>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4"/>
                <w:szCs w:val="24"/>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Key Subcontractors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4"/>
                <w:szCs w:val="24"/>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Name, Financial Risk Assessment (DnB or other), identify elements of delivery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4"/>
                <w:szCs w:val="24"/>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 </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4"/>
                <w:szCs w:val="24"/>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MS Word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4"/>
                <w:szCs w:val="24"/>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 </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4"/>
                <w:szCs w:val="24"/>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Quarterly </w:t>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4"/>
                <w:szCs w:val="24"/>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Social Value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4"/>
                <w:szCs w:val="24"/>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Progress against Social Value commitments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4"/>
                <w:szCs w:val="24"/>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MS Word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4"/>
                <w:szCs w:val="24"/>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Quarterly </w:t>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4"/>
                <w:szCs w:val="24"/>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Performance Management  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4"/>
                <w:szCs w:val="24"/>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Progress against agreed Milestones and any KPIs agreed.  Mitigation Plan where targets have been missed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4"/>
                <w:szCs w:val="24"/>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MS Excel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4"/>
                <w:szCs w:val="24"/>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Monthly </w:t>
            </w:r>
          </w:p>
        </w:tc>
      </w:tr>
    </w:tbl>
    <w:bookmarkStart w:colFirst="0" w:colLast="0" w:name="bookmark=id.gjdgxs" w:id="1"/>
    <w:bookmarkEnd w:id="1"/>
    <w:p w:rsidR="00000000" w:rsidDel="00000000" w:rsidP="00000000" w:rsidRDefault="00000000" w:rsidRPr="00000000" w14:paraId="0000002A">
      <w:pPr>
        <w:tabs>
          <w:tab w:val="left" w:leader="none" w:pos="1251"/>
        </w:tabs>
        <w:rPr>
          <w:rFonts w:ascii="Arial" w:cs="Arial" w:eastAsia="Arial" w:hAnsi="Arial"/>
          <w:sz w:val="24"/>
          <w:szCs w:val="24"/>
        </w:rPr>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2B">
      <w:pPr>
        <w:tabs>
          <w:tab w:val="left" w:leader="none" w:pos="1251"/>
        </w:tabs>
        <w:rPr>
          <w:rFonts w:ascii="Arial" w:cs="Arial" w:eastAsia="Arial" w:hAnsi="Arial"/>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7">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38">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RM6193</w:t>
      <w:tab/>
      <w:t xml:space="preserve">                                           </w:t>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bookmarkStart w:colFirst="0" w:colLast="0" w:name="_heading=h.30j0zll" w:id="2"/>
    <w:bookmarkEnd w:id="2"/>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A">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v3.0</w:t>
      <w:tab/>
    </w:r>
    <w:r w:rsidDel="00000000" w:rsidR="00000000" w:rsidRPr="00000000">
      <w:rPr>
        <w:rFonts w:ascii="Arial" w:cs="Arial" w:eastAsia="Arial" w:hAnsi="Arial"/>
        <w:color w:val="a6a6a6"/>
        <w:sz w:val="20"/>
        <w:szCs w:val="20"/>
        <w:rtl w:val="0"/>
      </w:rPr>
      <w:tab/>
      <w:tab/>
      <w:tab/>
      <w:tab/>
      <w:tab/>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B">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3C">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E">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b w:val="1"/>
        <w:color w:val="000000"/>
        <w:rtl w:val="0"/>
      </w:rPr>
      <w:t xml:space="preserve">Call-Off Schedule 1 (Transparency Reports)</w:t>
    </w: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Fonts w:ascii="Arial" w:cs="Arial" w:eastAsia="Arial" w:hAnsi="Arial"/>
        <w:color w:val="000000"/>
        <w:sz w:val="20"/>
        <w:szCs w:val="20"/>
        <w:rtl w:val="0"/>
      </w:rPr>
      <w:t xml:space="preserve">Call-Off Ref: </w:t>
    </w: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Crown Copyright</w:t>
    </w:r>
    <w:r w:rsidDel="00000000" w:rsidR="00000000" w:rsidRPr="00000000">
      <w:rPr>
        <w:rFonts w:ascii="Arial" w:cs="Arial" w:eastAsia="Arial" w:hAnsi="Arial"/>
        <w:color w:val="000000"/>
        <w:sz w:val="16"/>
        <w:szCs w:val="16"/>
        <w:rtl w:val="0"/>
      </w:rPr>
      <w:t xml:space="preserve"> </w:t>
    </w:r>
    <w:r w:rsidDel="00000000" w:rsidR="00000000" w:rsidRPr="00000000">
      <w:rPr>
        <w:color w:val="000000"/>
        <w:rtl w:val="0"/>
      </w:rPr>
      <w:t xml:space="preserve">20</w:t>
    </w:r>
    <w:r w:rsidDel="00000000" w:rsidR="00000000" w:rsidRPr="00000000">
      <w:rPr>
        <w:rtl w:val="0"/>
      </w:rPr>
      <w:t xml:space="preserve">20</w:t>
    </w: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 (Transparency Reports)</w:t>
    </w: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 </w:t>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w:t>
    </w:r>
  </w:p>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i w:val="1"/>
        <w:color w:val="000000"/>
      </w:rPr>
    </w:pP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cs="Arial" w:eastAsia="Times New Roman"/>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paragraph" w:styleId="NormalWeb">
    <w:name w:val="Normal (Web)"/>
    <w:basedOn w:val="Normal"/>
    <w:uiPriority w:val="99"/>
    <w:semiHidden w:val="1"/>
    <w:unhideWhenUsed w:val="1"/>
    <w:rsid w:val="005E5066"/>
    <w:pPr>
      <w:spacing w:after="100" w:afterAutospacing="1" w:before="100" w:beforeAutospacing="1" w:line="240" w:lineRule="auto"/>
    </w:pPr>
    <w:rPr>
      <w:rFonts w:ascii="Times New Roman" w:cs="Times New Roman" w:eastAsia="Times New Roman" w:hAnsi="Times New Roman"/>
      <w:sz w:val="24"/>
      <w:szCs w:val="24"/>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header" Target="header1.xml"/><Relationship Id="rId13" Type="http://schemas.openxmlformats.org/officeDocument/2006/relationships/footer" Target="footer1.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procurement-policy-note-0117-update-to-transparency-principles"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k8gfAAvewby47ARElBDZtP7mXeQ==">CgMxLjAyCGguZ2pkZ3hzMglpZC5namRneHMyCWguMzBqMHpsbDgAciExQVZKQTQxMlZYV0cyYW9fSXlMMzBsLXNhX2dpaW9LNWQ=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2018-06-18T12:33:00Z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